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B8" w:rsidRDefault="0008328F">
      <w:pPr>
        <w:rPr>
          <w:rFonts w:hint="eastAsia"/>
          <w:sz w:val="12"/>
          <w:szCs w:val="12"/>
        </w:rPr>
      </w:pPr>
      <w:bookmarkStart w:id="0" w:name="_GoBack"/>
      <w:bookmarkEnd w:id="0"/>
      <w:r>
        <w:rPr>
          <w:noProof/>
          <w:sz w:val="12"/>
          <w:szCs w:val="12"/>
          <w:lang w:eastAsia="ru-RU" w:bidi="ar-SA"/>
        </w:rPr>
        <w:drawing>
          <wp:anchor distT="0" distB="0" distL="0" distR="0" simplePos="0" relativeHeight="2" behindDoc="0" locked="0" layoutInCell="1" allowOverlap="1">
            <wp:simplePos x="0" y="0"/>
            <wp:positionH relativeFrom="column">
              <wp:posOffset>-223520</wp:posOffset>
            </wp:positionH>
            <wp:positionV relativeFrom="paragraph">
              <wp:posOffset>-3810</wp:posOffset>
            </wp:positionV>
            <wp:extent cx="7316470" cy="92900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7316470" cy="929005"/>
                    </a:xfrm>
                    <a:prstGeom prst="rect">
                      <a:avLst/>
                    </a:prstGeom>
                    <a:noFill/>
                    <a:ln w="9525">
                      <a:noFill/>
                      <a:miter lim="800000"/>
                      <a:headEnd/>
                      <a:tailEnd/>
                    </a:ln>
                  </pic:spPr>
                </pic:pic>
              </a:graphicData>
            </a:graphic>
          </wp:anchor>
        </w:drawing>
      </w:r>
    </w:p>
    <w:p w:rsidR="00252EB8" w:rsidRDefault="00252EB8">
      <w:pPr>
        <w:jc w:val="center"/>
        <w:rPr>
          <w:rFonts w:ascii="Century Gothic" w:hAnsi="Century Gothic"/>
          <w:b/>
          <w:bCs/>
          <w:color w:val="006699"/>
          <w:sz w:val="12"/>
          <w:szCs w:val="12"/>
        </w:rPr>
      </w:pPr>
    </w:p>
    <w:p w:rsidR="00252EB8" w:rsidRDefault="0008328F">
      <w:pPr>
        <w:jc w:val="right"/>
        <w:rPr>
          <w:rFonts w:hint="eastAsia"/>
        </w:rPr>
      </w:pPr>
      <w:r>
        <w:rPr>
          <w:rFonts w:ascii="Century Gothic" w:hAnsi="Century Gothic"/>
          <w:b/>
          <w:bCs/>
          <w:color w:val="006699"/>
          <w:sz w:val="26"/>
          <w:szCs w:val="26"/>
        </w:rPr>
        <w:t>3 февраля 2021</w:t>
      </w:r>
    </w:p>
    <w:p w:rsidR="00252EB8" w:rsidRDefault="00252EB8">
      <w:pPr>
        <w:jc w:val="center"/>
        <w:rPr>
          <w:rFonts w:hint="eastAsia"/>
          <w:b/>
          <w:bCs/>
          <w:sz w:val="28"/>
          <w:szCs w:val="28"/>
        </w:rPr>
      </w:pPr>
    </w:p>
    <w:p w:rsidR="00252EB8" w:rsidRDefault="00252EB8">
      <w:pPr>
        <w:jc w:val="center"/>
        <w:rPr>
          <w:rFonts w:hint="eastAsia"/>
          <w:b/>
          <w:bCs/>
          <w:sz w:val="28"/>
          <w:szCs w:val="28"/>
        </w:rPr>
      </w:pPr>
    </w:p>
    <w:p w:rsidR="00252EB8" w:rsidRDefault="0008328F">
      <w:pPr>
        <w:jc w:val="center"/>
        <w:rPr>
          <w:rFonts w:hint="eastAsia"/>
        </w:rPr>
      </w:pPr>
      <w:r>
        <w:rPr>
          <w:b/>
          <w:bCs/>
          <w:sz w:val="28"/>
          <w:szCs w:val="28"/>
        </w:rPr>
        <w:t xml:space="preserve">Обратитесь в Пенсионный фонд </w:t>
      </w:r>
    </w:p>
    <w:p w:rsidR="00252EB8" w:rsidRDefault="0008328F">
      <w:pPr>
        <w:jc w:val="center"/>
        <w:rPr>
          <w:rFonts w:hint="eastAsia"/>
        </w:rPr>
      </w:pPr>
      <w:r>
        <w:rPr>
          <w:b/>
          <w:bCs/>
          <w:sz w:val="28"/>
          <w:szCs w:val="28"/>
        </w:rPr>
        <w:t>за пенсионными накоплениями умершего родственника</w:t>
      </w:r>
    </w:p>
    <w:p w:rsidR="00252EB8" w:rsidRDefault="00252EB8">
      <w:pPr>
        <w:jc w:val="center"/>
        <w:rPr>
          <w:rFonts w:hint="eastAsia"/>
          <w:sz w:val="12"/>
          <w:szCs w:val="12"/>
        </w:rPr>
      </w:pPr>
    </w:p>
    <w:p w:rsidR="00252EB8" w:rsidRDefault="0008328F">
      <w:pPr>
        <w:jc w:val="both"/>
        <w:rPr>
          <w:rFonts w:hint="eastAsia"/>
        </w:rPr>
      </w:pPr>
      <w:r>
        <w:rPr>
          <w:sz w:val="28"/>
          <w:szCs w:val="28"/>
        </w:rPr>
        <w:tab/>
      </w:r>
      <w:r>
        <w:rPr>
          <w:sz w:val="28"/>
          <w:szCs w:val="28"/>
        </w:rPr>
        <w:t xml:space="preserve">Наследники могут получить пенсионные накопления своего умершего родственника.  Только знают об этом праве не все и не все обращаются в ПФР за положенными им по закону выплатами. </w:t>
      </w:r>
    </w:p>
    <w:p w:rsidR="00252EB8" w:rsidRDefault="0008328F">
      <w:pPr>
        <w:jc w:val="both"/>
        <w:rPr>
          <w:rFonts w:hint="eastAsia"/>
        </w:rPr>
      </w:pPr>
      <w:r>
        <w:rPr>
          <w:sz w:val="28"/>
          <w:szCs w:val="28"/>
        </w:rPr>
        <w:tab/>
        <w:t>Как правило, размер пенсионных накоплений, который остаётся после смерти гра</w:t>
      </w:r>
      <w:r>
        <w:rPr>
          <w:sz w:val="28"/>
          <w:szCs w:val="28"/>
        </w:rPr>
        <w:t xml:space="preserve">жданина, небольшой — от нескольких сотен до нескольких тысяч рублей. </w:t>
      </w:r>
      <w:r>
        <w:rPr>
          <w:b/>
          <w:bCs/>
          <w:i/>
          <w:iCs/>
          <w:sz w:val="28"/>
          <w:szCs w:val="28"/>
        </w:rPr>
        <w:t xml:space="preserve">Между тем есть случаи, когда сумма накоплений является весьма внушительной. Например, в 2020 году в городе Волжском родственникам умерших граждан выплачивались накопления в 80 тысяч, 100 </w:t>
      </w:r>
      <w:r>
        <w:rPr>
          <w:b/>
          <w:bCs/>
          <w:i/>
          <w:iCs/>
          <w:sz w:val="28"/>
          <w:szCs w:val="28"/>
        </w:rPr>
        <w:t xml:space="preserve">тысяч рублей, а наибольшей выплатой стала сумма в 327 тысяч рублей. </w:t>
      </w:r>
    </w:p>
    <w:p w:rsidR="00252EB8" w:rsidRDefault="0008328F">
      <w:pPr>
        <w:jc w:val="both"/>
        <w:rPr>
          <w:rFonts w:hint="eastAsia"/>
        </w:rPr>
      </w:pPr>
      <w:r>
        <w:rPr>
          <w:sz w:val="28"/>
          <w:szCs w:val="28"/>
        </w:rPr>
        <w:tab/>
        <w:t xml:space="preserve">Конечно, пенсионные накопления есть не у всех россиян. Прежде всего, они формируются:  </w:t>
      </w:r>
      <w:r>
        <w:rPr>
          <w:sz w:val="28"/>
          <w:szCs w:val="28"/>
        </w:rPr>
        <w:t xml:space="preserve">у работающих граждан </w:t>
      </w:r>
      <w:r>
        <w:rPr>
          <w:sz w:val="28"/>
          <w:szCs w:val="28"/>
        </w:rPr>
        <w:t>1967 г.р. и моложе</w:t>
      </w:r>
      <w:r>
        <w:rPr>
          <w:sz w:val="28"/>
          <w:szCs w:val="28"/>
        </w:rPr>
        <w:t xml:space="preserve"> за счёт уплаты страховых взносов в ПФР; у тех, кто направил</w:t>
      </w:r>
      <w:r>
        <w:rPr>
          <w:sz w:val="28"/>
          <w:szCs w:val="28"/>
        </w:rPr>
        <w:t xml:space="preserve"> средства </w:t>
      </w:r>
      <w:proofErr w:type="spellStart"/>
      <w:r>
        <w:rPr>
          <w:sz w:val="28"/>
          <w:szCs w:val="28"/>
        </w:rPr>
        <w:t>маткапитала</w:t>
      </w:r>
      <w:proofErr w:type="spellEnd"/>
      <w:r>
        <w:rPr>
          <w:sz w:val="28"/>
          <w:szCs w:val="28"/>
        </w:rPr>
        <w:t xml:space="preserve"> на будущую накопительную  пенсию мамы; </w:t>
      </w:r>
      <w:r>
        <w:rPr>
          <w:sz w:val="28"/>
          <w:szCs w:val="28"/>
        </w:rPr>
        <w:t xml:space="preserve">у участников госпрограммы </w:t>
      </w:r>
      <w:proofErr w:type="spellStart"/>
      <w:r>
        <w:rPr>
          <w:sz w:val="28"/>
          <w:szCs w:val="28"/>
        </w:rPr>
        <w:t>софинансирования</w:t>
      </w:r>
      <w:proofErr w:type="spellEnd"/>
      <w:r>
        <w:rPr>
          <w:sz w:val="28"/>
          <w:szCs w:val="28"/>
        </w:rPr>
        <w:t xml:space="preserve"> пенсий (тех, кто перечислял дополнительные страховые взносы на накопительную пенсию).</w:t>
      </w:r>
    </w:p>
    <w:p w:rsidR="00252EB8" w:rsidRDefault="0008328F">
      <w:pPr>
        <w:jc w:val="both"/>
        <w:rPr>
          <w:rFonts w:hint="eastAsia"/>
        </w:rPr>
      </w:pPr>
      <w:r>
        <w:rPr>
          <w:sz w:val="28"/>
          <w:szCs w:val="28"/>
        </w:rPr>
        <w:tab/>
        <w:t>Пенсионные накопления также формировались в 2002-2004 годах у муж</w:t>
      </w:r>
      <w:r>
        <w:rPr>
          <w:sz w:val="28"/>
          <w:szCs w:val="28"/>
        </w:rPr>
        <w:t>чин 1953-1966 г.р. и у женщин 1957-1966 г.р.</w:t>
      </w:r>
    </w:p>
    <w:p w:rsidR="00252EB8" w:rsidRDefault="0008328F">
      <w:pPr>
        <w:jc w:val="both"/>
        <w:rPr>
          <w:rFonts w:hint="eastAsia"/>
        </w:rPr>
      </w:pPr>
      <w:r>
        <w:rPr>
          <w:sz w:val="28"/>
          <w:szCs w:val="28"/>
        </w:rPr>
        <w:tab/>
        <w:t>Родственникам умершего гражданина необходимо  обратиться в ПФР и узнать, остались ли у гражданина пенсионные накопления. Получить деньги можно в течение 6 месяцев со дня смерти родственника, после данного срока</w:t>
      </w:r>
      <w:r>
        <w:rPr>
          <w:sz w:val="28"/>
          <w:szCs w:val="28"/>
        </w:rPr>
        <w:t xml:space="preserve"> — только в судебном порядке.</w:t>
      </w:r>
    </w:p>
    <w:p w:rsidR="00252EB8" w:rsidRDefault="0008328F">
      <w:pPr>
        <w:jc w:val="both"/>
        <w:rPr>
          <w:rFonts w:hint="eastAsia"/>
        </w:rPr>
      </w:pPr>
      <w:r>
        <w:rPr>
          <w:sz w:val="28"/>
          <w:szCs w:val="28"/>
        </w:rPr>
        <w:tab/>
        <w:t xml:space="preserve">Кто может унаследовать средства пенсионных накоплений? Правопреемники бывают по заявлению и по закону. </w:t>
      </w:r>
      <w:r>
        <w:rPr>
          <w:rStyle w:val="a4"/>
          <w:sz w:val="28"/>
          <w:szCs w:val="28"/>
        </w:rPr>
        <w:t xml:space="preserve">Правопреемниками по заявлению </w:t>
      </w:r>
      <w:r>
        <w:rPr>
          <w:sz w:val="28"/>
          <w:szCs w:val="28"/>
        </w:rPr>
        <w:t xml:space="preserve">может быть любое лицо или несколько лиц, которых ещё при жизни сам человек определил своими </w:t>
      </w:r>
      <w:r>
        <w:rPr>
          <w:sz w:val="28"/>
          <w:szCs w:val="28"/>
        </w:rPr>
        <w:t xml:space="preserve">правопреемниками (соответствующее заявление подаётся в Пенсионный фонд). </w:t>
      </w:r>
      <w:r>
        <w:rPr>
          <w:rStyle w:val="a4"/>
          <w:sz w:val="28"/>
          <w:szCs w:val="28"/>
        </w:rPr>
        <w:t xml:space="preserve">Правопреемники по закону </w:t>
      </w:r>
      <w:r>
        <w:rPr>
          <w:sz w:val="28"/>
          <w:szCs w:val="28"/>
        </w:rPr>
        <w:t>делятся на две очереди: в первой очереди дети, в том числе усыновлённые, супру</w:t>
      </w:r>
      <w:proofErr w:type="gramStart"/>
      <w:r>
        <w:rPr>
          <w:sz w:val="28"/>
          <w:szCs w:val="28"/>
        </w:rPr>
        <w:t>г(</w:t>
      </w:r>
      <w:proofErr w:type="gramEnd"/>
      <w:r>
        <w:rPr>
          <w:sz w:val="28"/>
          <w:szCs w:val="28"/>
        </w:rPr>
        <w:t>а), родители, в том числе усыновители; во второй очереди братья, сестры, бабуш</w:t>
      </w:r>
      <w:r>
        <w:rPr>
          <w:sz w:val="28"/>
          <w:szCs w:val="28"/>
        </w:rPr>
        <w:t>ки, дедушки и внуки.</w:t>
      </w:r>
    </w:p>
    <w:p w:rsidR="00252EB8" w:rsidRDefault="0008328F">
      <w:pPr>
        <w:jc w:val="both"/>
        <w:rPr>
          <w:rFonts w:hint="eastAsia"/>
        </w:rPr>
      </w:pPr>
      <w:r>
        <w:rPr>
          <w:rFonts w:ascii="Times New Roman" w:hAnsi="Times New Roman" w:cs="Times New Roman"/>
          <w:sz w:val="28"/>
          <w:szCs w:val="28"/>
        </w:rPr>
        <w:tab/>
        <w:t>В случае смерти женщины, которая при жизни направила средства материнского (семейного) капитала на формирование накопительной пенсии, законодательством определён особый круг наследников: это отец ребёнка. Если отца нет или он лишён ро</w:t>
      </w:r>
      <w:r>
        <w:rPr>
          <w:rFonts w:ascii="Times New Roman" w:hAnsi="Times New Roman" w:cs="Times New Roman"/>
          <w:sz w:val="28"/>
          <w:szCs w:val="28"/>
        </w:rPr>
        <w:t>дительских прав, то правопреемниками являются  сами дети, не достигшие совершеннолетия или совершеннолетние, обучающиеся по очной форме обучения до окончания такого обучения, но не дольше чем до достижения им возраста 23 лет.</w:t>
      </w:r>
    </w:p>
    <w:p w:rsidR="00252EB8" w:rsidRDefault="0008328F">
      <w:pPr>
        <w:jc w:val="both"/>
        <w:rPr>
          <w:rFonts w:hint="eastAsia"/>
        </w:rPr>
      </w:pPr>
      <w:r>
        <w:rPr>
          <w:rFonts w:ascii="Times New Roman" w:hAnsi="Times New Roman" w:cs="Times New Roman"/>
          <w:sz w:val="28"/>
          <w:szCs w:val="28"/>
        </w:rPr>
        <w:tab/>
      </w:r>
    </w:p>
    <w:p w:rsidR="00252EB8" w:rsidRDefault="00252EB8">
      <w:pPr>
        <w:jc w:val="both"/>
        <w:rPr>
          <w:rFonts w:ascii="Times New Roman" w:eastAsia="Times New Roman" w:hAnsi="Times New Roman" w:cs="Times New Roman"/>
          <w:sz w:val="28"/>
          <w:szCs w:val="28"/>
          <w:lang w:eastAsia="ru-RU"/>
        </w:rPr>
      </w:pPr>
    </w:p>
    <w:p w:rsidR="00252EB8" w:rsidRDefault="0008328F">
      <w:pPr>
        <w:jc w:val="right"/>
        <w:rPr>
          <w:rFonts w:hint="eastAsia"/>
        </w:rPr>
      </w:pPr>
      <w:r>
        <w:rPr>
          <w:rFonts w:ascii="Century Gothic" w:hAnsi="Century Gothic"/>
          <w:b/>
          <w:bCs/>
          <w:color w:val="006699"/>
        </w:rPr>
        <w:t>ЦЕНТР ПФР № 1</w:t>
      </w:r>
    </w:p>
    <w:p w:rsidR="00252EB8" w:rsidRDefault="0008328F">
      <w:pPr>
        <w:jc w:val="right"/>
        <w:rPr>
          <w:rFonts w:hint="eastAsia"/>
        </w:rPr>
      </w:pPr>
      <w:r>
        <w:rPr>
          <w:rFonts w:ascii="Century Gothic" w:hAnsi="Century Gothic"/>
          <w:b/>
          <w:bCs/>
          <w:color w:val="006699"/>
        </w:rPr>
        <w:t xml:space="preserve">по </w:t>
      </w:r>
      <w:r>
        <w:rPr>
          <w:rFonts w:ascii="Century Gothic" w:hAnsi="Century Gothic"/>
          <w:b/>
          <w:bCs/>
          <w:color w:val="006699"/>
        </w:rPr>
        <w:t>установлению пенсий</w:t>
      </w:r>
    </w:p>
    <w:p w:rsidR="00252EB8" w:rsidRDefault="0008328F">
      <w:pPr>
        <w:jc w:val="right"/>
        <w:rPr>
          <w:rFonts w:hint="eastAsia"/>
        </w:rPr>
      </w:pPr>
      <w:r>
        <w:rPr>
          <w:rFonts w:ascii="Century Gothic" w:hAnsi="Century Gothic"/>
          <w:b/>
          <w:bCs/>
          <w:color w:val="006699"/>
        </w:rPr>
        <w:t>в Волгоградской области</w:t>
      </w:r>
    </w:p>
    <w:sectPr w:rsidR="00252EB8">
      <w:pgSz w:w="11906" w:h="16838"/>
      <w:pgMar w:top="567" w:right="567" w:bottom="567" w:left="56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B8"/>
    <w:rsid w:val="0008328F"/>
    <w:rsid w:val="00252E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color w:val="00000A"/>
      <w:sz w:val="24"/>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qFormat/>
  </w:style>
  <w:style w:type="character" w:customStyle="1" w:styleId="-">
    <w:name w:val="Интернет-ссылка"/>
    <w:basedOn w:val="10"/>
    <w:rPr>
      <w:color w:val="0000FF"/>
      <w:u w:val="single"/>
    </w:rPr>
  </w:style>
  <w:style w:type="character" w:customStyle="1" w:styleId="textexposedshow">
    <w:name w:val="text_exposed_show"/>
    <w:basedOn w:val="a1"/>
    <w:qFormat/>
  </w:style>
  <w:style w:type="character" w:customStyle="1" w:styleId="hascaption">
    <w:name w:val="hascaption"/>
    <w:basedOn w:val="a1"/>
    <w:qFormat/>
  </w:style>
  <w:style w:type="character" w:customStyle="1" w:styleId="ListLabel2">
    <w:name w:val="ListLabel 2"/>
    <w:qFormat/>
    <w:rPr>
      <w:rFonts w:cs="Symbol"/>
      <w:sz w:val="28"/>
    </w:rPr>
  </w:style>
  <w:style w:type="character" w:customStyle="1" w:styleId="ListLabel3">
    <w:name w:val="ListLabel 3"/>
    <w:qFormat/>
    <w:rPr>
      <w:rFonts w:cs="Symbol"/>
      <w:sz w:val="28"/>
    </w:rPr>
  </w:style>
  <w:style w:type="character" w:customStyle="1" w:styleId="a4">
    <w:name w:val="Выделение жирным"/>
    <w:rPr>
      <w:b/>
      <w:bCs/>
    </w:rPr>
  </w:style>
  <w:style w:type="paragraph" w:customStyle="1" w:styleId="a0">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Title"/>
    <w:basedOn w:val="a"/>
    <w:pPr>
      <w:suppressLineNumbers/>
      <w:spacing w:before="120" w:after="120"/>
    </w:pPr>
    <w:rPr>
      <w:i/>
      <w:iCs/>
    </w:rPr>
  </w:style>
  <w:style w:type="paragraph" w:styleId="a8">
    <w:name w:val="index heading"/>
    <w:basedOn w:val="a"/>
    <w:qFormat/>
    <w:pPr>
      <w:suppressLineNumbers/>
    </w:pPr>
  </w:style>
  <w:style w:type="paragraph" w:styleId="a9">
    <w:name w:val="Body Text Indent"/>
    <w:basedOn w:val="a"/>
    <w:pPr>
      <w:ind w:firstLine="709"/>
      <w:jc w:val="both"/>
    </w:pPr>
  </w:style>
  <w:style w:type="paragraph" w:customStyle="1" w:styleId="aa">
    <w:name w:val="Содержимое врезки"/>
    <w:basedOn w:val="a"/>
    <w:qFormat/>
  </w:style>
  <w:style w:type="paragraph" w:styleId="ab">
    <w:name w:val="header"/>
    <w:basedOn w:val="a"/>
  </w:style>
  <w:style w:type="paragraph" w:customStyle="1" w:styleId="ac">
    <w:name w:val="Блочная цитата"/>
    <w:basedOn w:val="a"/>
    <w:qFormat/>
  </w:style>
  <w:style w:type="paragraph" w:customStyle="1" w:styleId="ad">
    <w:name w:val="Заглавие"/>
    <w:basedOn w:val="a0"/>
  </w:style>
  <w:style w:type="paragraph" w:styleId="ae">
    <w:name w:val="Subtitl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color w:val="00000A"/>
      <w:sz w:val="24"/>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qFormat/>
  </w:style>
  <w:style w:type="character" w:customStyle="1" w:styleId="-">
    <w:name w:val="Интернет-ссылка"/>
    <w:basedOn w:val="10"/>
    <w:rPr>
      <w:color w:val="0000FF"/>
      <w:u w:val="single"/>
    </w:rPr>
  </w:style>
  <w:style w:type="character" w:customStyle="1" w:styleId="textexposedshow">
    <w:name w:val="text_exposed_show"/>
    <w:basedOn w:val="a1"/>
    <w:qFormat/>
  </w:style>
  <w:style w:type="character" w:customStyle="1" w:styleId="hascaption">
    <w:name w:val="hascaption"/>
    <w:basedOn w:val="a1"/>
    <w:qFormat/>
  </w:style>
  <w:style w:type="character" w:customStyle="1" w:styleId="ListLabel2">
    <w:name w:val="ListLabel 2"/>
    <w:qFormat/>
    <w:rPr>
      <w:rFonts w:cs="Symbol"/>
      <w:sz w:val="28"/>
    </w:rPr>
  </w:style>
  <w:style w:type="character" w:customStyle="1" w:styleId="ListLabel3">
    <w:name w:val="ListLabel 3"/>
    <w:qFormat/>
    <w:rPr>
      <w:rFonts w:cs="Symbol"/>
      <w:sz w:val="28"/>
    </w:rPr>
  </w:style>
  <w:style w:type="character" w:customStyle="1" w:styleId="a4">
    <w:name w:val="Выделение жирным"/>
    <w:rPr>
      <w:b/>
      <w:bCs/>
    </w:rPr>
  </w:style>
  <w:style w:type="paragraph" w:customStyle="1" w:styleId="a0">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Title"/>
    <w:basedOn w:val="a"/>
    <w:pPr>
      <w:suppressLineNumbers/>
      <w:spacing w:before="120" w:after="120"/>
    </w:pPr>
    <w:rPr>
      <w:i/>
      <w:iCs/>
    </w:rPr>
  </w:style>
  <w:style w:type="paragraph" w:styleId="a8">
    <w:name w:val="index heading"/>
    <w:basedOn w:val="a"/>
    <w:qFormat/>
    <w:pPr>
      <w:suppressLineNumbers/>
    </w:pPr>
  </w:style>
  <w:style w:type="paragraph" w:styleId="a9">
    <w:name w:val="Body Text Indent"/>
    <w:basedOn w:val="a"/>
    <w:pPr>
      <w:ind w:firstLine="709"/>
      <w:jc w:val="both"/>
    </w:pPr>
  </w:style>
  <w:style w:type="paragraph" w:customStyle="1" w:styleId="aa">
    <w:name w:val="Содержимое врезки"/>
    <w:basedOn w:val="a"/>
    <w:qFormat/>
  </w:style>
  <w:style w:type="paragraph" w:styleId="ab">
    <w:name w:val="header"/>
    <w:basedOn w:val="a"/>
  </w:style>
  <w:style w:type="paragraph" w:customStyle="1" w:styleId="ac">
    <w:name w:val="Блочная цитата"/>
    <w:basedOn w:val="a"/>
    <w:qFormat/>
  </w:style>
  <w:style w:type="paragraph" w:customStyle="1" w:styleId="ad">
    <w:name w:val="Заглавие"/>
    <w:basedOn w:val="a0"/>
  </w:style>
  <w:style w:type="paragraph" w:styleId="ae">
    <w:name w:val="Subtit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EAV</dc:creator>
  <cp:lastModifiedBy>EAV</cp:lastModifiedBy>
  <cp:revision>2</cp:revision>
  <cp:lastPrinted>2019-01-21T14:47:00Z</cp:lastPrinted>
  <dcterms:created xsi:type="dcterms:W3CDTF">2021-02-04T04:29:00Z</dcterms:created>
  <dcterms:modified xsi:type="dcterms:W3CDTF">2021-02-04T04:29:00Z</dcterms:modified>
  <dc:language>ru-RU</dc:language>
</cp:coreProperties>
</file>