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8A" w:rsidRDefault="004A7881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28A" w:rsidRDefault="0014428A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14428A" w:rsidRDefault="004A7881">
      <w:pPr>
        <w:jc w:val="center"/>
        <w:rPr>
          <w:rFonts w:hint="eastAsia"/>
          <w:b/>
          <w:bCs/>
        </w:rPr>
      </w:pPr>
      <w:r>
        <w:rPr>
          <w:rFonts w:ascii="Liberation Sans" w:hAnsi="Liberation Sans"/>
          <w:b/>
          <w:bCs/>
          <w:sz w:val="26"/>
          <w:szCs w:val="26"/>
        </w:rPr>
        <w:t>Россияне переводят накопления из НПФ в Пенсионный фонд России</w:t>
      </w:r>
    </w:p>
    <w:p w:rsidR="0014428A" w:rsidRDefault="0014428A">
      <w:pPr>
        <w:jc w:val="both"/>
        <w:rPr>
          <w:rFonts w:ascii="Liberation Sans" w:hAnsi="Liberation Sans" w:hint="eastAsia"/>
          <w:sz w:val="12"/>
          <w:szCs w:val="12"/>
        </w:rPr>
      </w:pPr>
    </w:p>
    <w:p w:rsidR="0014428A" w:rsidRDefault="004A7881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sz w:val="26"/>
          <w:szCs w:val="26"/>
        </w:rPr>
        <w:t xml:space="preserve">Пенсионный фонд подвел итоги кампании по переводу пенсионных накоплений в соответствии с поданными в 2020 году заявлениями россиян. Налицо тенденция: число желающих передать свои пенсионные накопления в другой фонд по-прежнему уменьшается. </w:t>
      </w:r>
    </w:p>
    <w:p w:rsidR="0014428A" w:rsidRDefault="004A7881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>Так, за 2020 г</w:t>
      </w:r>
      <w:r>
        <w:rPr>
          <w:rFonts w:ascii="Liberation Sans" w:hAnsi="Liberation Sans"/>
          <w:sz w:val="26"/>
          <w:szCs w:val="26"/>
        </w:rPr>
        <w:t>од в ПФР поступило 129,8 тысячи заявлений о переводе средств — это в 2,7 раза меньше по сравнению с кампанией 2019 года, когда было принято 345 тысяч заявлений. Сокращение потока заявлений происходит несколько лет подряд и объясняется, в том числе, огранич</w:t>
      </w:r>
      <w:r>
        <w:rPr>
          <w:rFonts w:ascii="Liberation Sans" w:hAnsi="Liberation Sans"/>
          <w:sz w:val="26"/>
          <w:szCs w:val="26"/>
        </w:rPr>
        <w:t>ением каналов их подачи, а также рассылкой уведомлений о потерях инвестиционного дохода всем, кто решил досрочно покинуть свой фонд.</w:t>
      </w:r>
    </w:p>
    <w:p w:rsidR="0014428A" w:rsidRDefault="004A7881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b/>
          <w:bCs/>
          <w:i/>
          <w:iCs/>
          <w:sz w:val="26"/>
          <w:szCs w:val="26"/>
        </w:rPr>
        <w:t>Куда россияне переводили свои накопления в 2020 году?</w:t>
      </w:r>
      <w:r>
        <w:rPr>
          <w:rFonts w:ascii="Liberation Sans" w:hAnsi="Liberation Sans"/>
          <w:sz w:val="26"/>
          <w:szCs w:val="26"/>
        </w:rPr>
        <w:t xml:space="preserve"> Больше половины участников переходной кампании сделали перевод накоп</w:t>
      </w:r>
      <w:r>
        <w:rPr>
          <w:rFonts w:ascii="Liberation Sans" w:hAnsi="Liberation Sans"/>
          <w:sz w:val="26"/>
          <w:szCs w:val="26"/>
        </w:rPr>
        <w:t xml:space="preserve">лений из негосударственных фондов в Пенсионный фонд России. Такое решение приняли 71,5 тысячи человек, или 56,5% всех участников. </w:t>
      </w:r>
    </w:p>
    <w:p w:rsidR="0014428A" w:rsidRDefault="004A7881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>Из одного негосударственного фонда в другой перешли 38 тысяч человек (30,1% участников). Меньше всего переходов было сделано</w:t>
      </w:r>
      <w:r>
        <w:rPr>
          <w:rFonts w:ascii="Liberation Sans" w:hAnsi="Liberation Sans"/>
          <w:sz w:val="26"/>
          <w:szCs w:val="26"/>
        </w:rPr>
        <w:t xml:space="preserve"> из Пенсионного фонда России в негосударственные фонды – 15,8 тысячи, или 12,5%.</w:t>
      </w:r>
    </w:p>
    <w:p w:rsidR="0014428A" w:rsidRDefault="004A7881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 xml:space="preserve"> </w:t>
      </w:r>
      <w:r>
        <w:rPr>
          <w:rFonts w:ascii="Liberation Sans" w:hAnsi="Liberation Sans"/>
          <w:sz w:val="26"/>
          <w:szCs w:val="26"/>
        </w:rPr>
        <w:tab/>
        <w:t xml:space="preserve">Все, кто в прошлом году принял решение сменить пенсионный фонд, получали уведомления ПФР о последствиях преждевременного перехода, а также могли отозвать поданное заявление </w:t>
      </w:r>
      <w:r>
        <w:rPr>
          <w:rFonts w:ascii="Liberation Sans" w:hAnsi="Liberation Sans"/>
          <w:sz w:val="26"/>
          <w:szCs w:val="26"/>
        </w:rPr>
        <w:t xml:space="preserve">о переходе. В целом потери россиян при переводе пенсионных накоплений стали заметно меньше. Если в кампанию-2019 Пенсионный фонд удержал 2 </w:t>
      </w:r>
      <w:proofErr w:type="gramStart"/>
      <w:r>
        <w:rPr>
          <w:rFonts w:ascii="Liberation Sans" w:hAnsi="Liberation Sans"/>
          <w:sz w:val="26"/>
          <w:szCs w:val="26"/>
        </w:rPr>
        <w:t>млрд</w:t>
      </w:r>
      <w:proofErr w:type="gramEnd"/>
      <w:r>
        <w:rPr>
          <w:rFonts w:ascii="Liberation Sans" w:hAnsi="Liberation Sans"/>
          <w:sz w:val="26"/>
          <w:szCs w:val="26"/>
        </w:rPr>
        <w:t xml:space="preserve"> рублей </w:t>
      </w:r>
      <w:proofErr w:type="spellStart"/>
      <w:r>
        <w:rPr>
          <w:rFonts w:ascii="Liberation Sans" w:hAnsi="Liberation Sans"/>
          <w:sz w:val="26"/>
          <w:szCs w:val="26"/>
        </w:rPr>
        <w:t>инвестдохода</w:t>
      </w:r>
      <w:proofErr w:type="spellEnd"/>
      <w:r>
        <w:rPr>
          <w:rFonts w:ascii="Liberation Sans" w:hAnsi="Liberation Sans"/>
          <w:sz w:val="26"/>
          <w:szCs w:val="26"/>
        </w:rPr>
        <w:t xml:space="preserve"> по досрочным переводам из ПФР в НПФ, то в кампанию-2020 этот показатель резко сократился и с</w:t>
      </w:r>
      <w:r>
        <w:rPr>
          <w:rFonts w:ascii="Liberation Sans" w:hAnsi="Liberation Sans"/>
          <w:sz w:val="26"/>
          <w:szCs w:val="26"/>
        </w:rPr>
        <w:t xml:space="preserve">оставил 34 млн рублей. </w:t>
      </w:r>
    </w:p>
    <w:p w:rsidR="0014428A" w:rsidRDefault="004A7881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 xml:space="preserve">К слову, число россиян, которые формируют накопления в Пенсионном фонде России, составляет сегодня </w:t>
      </w:r>
      <w:r>
        <w:rPr>
          <w:rFonts w:ascii="Liberation Sans" w:hAnsi="Liberation Sans"/>
          <w:b/>
          <w:bCs/>
          <w:sz w:val="26"/>
          <w:szCs w:val="26"/>
        </w:rPr>
        <w:t xml:space="preserve">38,5 </w:t>
      </w:r>
      <w:proofErr w:type="gramStart"/>
      <w:r>
        <w:rPr>
          <w:rFonts w:ascii="Liberation Sans" w:hAnsi="Liberation Sans"/>
          <w:b/>
          <w:bCs/>
          <w:sz w:val="26"/>
          <w:szCs w:val="26"/>
        </w:rPr>
        <w:t>млн</w:t>
      </w:r>
      <w:proofErr w:type="gramEnd"/>
      <w:r>
        <w:rPr>
          <w:rFonts w:ascii="Liberation Sans" w:hAnsi="Liberation Sans"/>
          <w:sz w:val="26"/>
          <w:szCs w:val="26"/>
        </w:rPr>
        <w:t xml:space="preserve"> человек, число клиентов негосударственных пенсионных фондов сократилось до </w:t>
      </w:r>
      <w:r>
        <w:rPr>
          <w:rFonts w:ascii="Liberation Sans" w:hAnsi="Liberation Sans"/>
          <w:b/>
          <w:bCs/>
          <w:sz w:val="26"/>
          <w:szCs w:val="26"/>
        </w:rPr>
        <w:t>37,2 млн</w:t>
      </w:r>
      <w:r>
        <w:rPr>
          <w:rFonts w:ascii="Liberation Sans" w:hAnsi="Liberation Sans"/>
          <w:sz w:val="26"/>
          <w:szCs w:val="26"/>
        </w:rPr>
        <w:t>.</w:t>
      </w:r>
    </w:p>
    <w:p w:rsidR="0014428A" w:rsidRDefault="004A7881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14428A" w:rsidRDefault="001442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8A" w:rsidRDefault="004A7881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14428A" w:rsidRDefault="004A7881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</w:t>
      </w:r>
      <w:r>
        <w:rPr>
          <w:rFonts w:ascii="Century Gothic" w:hAnsi="Century Gothic"/>
          <w:b/>
          <w:bCs/>
          <w:color w:val="006699"/>
        </w:rPr>
        <w:t>й</w:t>
      </w:r>
    </w:p>
    <w:p w:rsidR="0014428A" w:rsidRDefault="004A7881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14428A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8A"/>
    <w:rsid w:val="0014428A"/>
    <w:rsid w:val="004A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2021-04-26T14:54:00Z</cp:lastPrinted>
  <dcterms:created xsi:type="dcterms:W3CDTF">2021-04-29T07:51:00Z</dcterms:created>
  <dcterms:modified xsi:type="dcterms:W3CDTF">2021-04-29T07:51:00Z</dcterms:modified>
  <dc:language>ru-RU</dc:language>
</cp:coreProperties>
</file>